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rtl w:val="0"/>
        </w:rPr>
        <w:t xml:space="preserve">Charte d’Ottawa : </w:t>
      </w:r>
      <w:hyperlink r:id="rId5">
        <w:r w:rsidDel="00000000" w:rsidR="00000000" w:rsidRPr="00000000">
          <w:rPr>
            <w:color w:val="1155cc"/>
            <w:sz w:val="20"/>
            <w:u w:val="single"/>
            <w:rtl w:val="0"/>
          </w:rPr>
          <w:t xml:space="preserve">http://www.sante.gouv.fr/cdrom_lpsp/pdf/Charte_d_Ottawa.pdf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rtl w:val="0"/>
        </w:rPr>
        <w:t xml:space="preserve">Textes réglementaires : </w:t>
      </w:r>
      <w:hyperlink r:id="rId6">
        <w:r w:rsidDel="00000000" w:rsidR="00000000" w:rsidRPr="00000000">
          <w:rPr>
            <w:color w:val="1155cc"/>
            <w:sz w:val="20"/>
            <w:u w:val="single"/>
            <w:rtl w:val="0"/>
          </w:rPr>
          <w:t xml:space="preserve">http://www.sante.gouv.fr/textes-reglementaires-relatifs-a-l-etp.html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rtl w:val="0"/>
        </w:rPr>
        <w:t xml:space="preserve">Recommandations HAS : </w:t>
      </w:r>
      <w:hyperlink r:id="rId7">
        <w:r w:rsidDel="00000000" w:rsidR="00000000" w:rsidRPr="00000000">
          <w:rPr>
            <w:color w:val="1155cc"/>
            <w:sz w:val="20"/>
            <w:u w:val="single"/>
            <w:rtl w:val="0"/>
          </w:rPr>
          <w:t xml:space="preserve">http://www.has-sante.fr/portail/jcms/c_1241714/fr/education-therapeutique-du-patient-etp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rtl w:val="0"/>
        </w:rPr>
        <w:t xml:space="preserve">Concernant les niveaux de preuve :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0"/>
          <w:rtl w:val="0"/>
        </w:rPr>
        <w:t xml:space="preserve">Anticoagulants :</w:t>
      </w:r>
      <w:hyperlink r:id="rId8">
        <w:r w:rsidDel="00000000" w:rsidR="00000000" w:rsidRPr="00000000">
          <w:rPr>
            <w:sz w:val="20"/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sz w:val="20"/>
            <w:highlight w:val="white"/>
            <w:u w:val="single"/>
            <w:rtl w:val="0"/>
          </w:rPr>
          <w:t xml:space="preserve">Current evidence does not support supplemental patient education as a means to improve patient outcomes, but the quality of this evidence is poor. Larger randomized trials are needed with longer follow-up, recruitment of patients initiating anticoagulation in primary care settings, and clearly defined education interventions</w:t>
        </w:r>
      </w:hyperlink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0"/>
          <w:rtl w:val="0"/>
        </w:rPr>
        <w:t xml:space="preserve">Douleur : Recherche sur Pubmed, méta-analyses, equation : ("patient education as topic"[MeSH Major Topic]) AND pain[MeSH Major Topic]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0"/>
          <w:rtl w:val="0"/>
        </w:rPr>
        <w:t xml:space="preserve">Cervicalgies  </w:t>
      </w:r>
      <w:hyperlink r:id="rId10">
        <w:r w:rsidDel="00000000" w:rsidR="00000000" w:rsidRPr="00000000">
          <w:rPr>
            <w:color w:val="1155cc"/>
            <w:sz w:val="20"/>
            <w:highlight w:val="white"/>
            <w:u w:val="single"/>
            <w:rtl w:val="0"/>
          </w:rPr>
          <w:t xml:space="preserve">With the exception of one trial, this review has not shown effectiveness for educational interventions, including advice to activate, advice on stress-coping skills, workplace ergonomics and self-care strategies</w:t>
        </w:r>
      </w:hyperlink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0"/>
          <w:rtl w:val="0"/>
        </w:rPr>
        <w:t xml:space="preserve">Lombalgies :</w:t>
      </w:r>
      <w:hyperlink r:id="rId11">
        <w:r w:rsidDel="00000000" w:rsidR="00000000" w:rsidRPr="00000000">
          <w:rPr>
            <w:sz w:val="20"/>
            <w:rtl w:val="0"/>
          </w:rPr>
          <w:t xml:space="preserve"> </w:t>
        </w:r>
      </w:hyperlink>
      <w:hyperlink r:id="rId12">
        <w:r w:rsidDel="00000000" w:rsidR="00000000" w:rsidRPr="00000000">
          <w:rPr>
            <w:color w:val="1155cc"/>
            <w:sz w:val="20"/>
            <w:u w:val="single"/>
            <w:shd w:fill="f2f5f8" w:val="clear"/>
            <w:rtl w:val="0"/>
          </w:rPr>
          <w:t xml:space="preserve">Meta-analysis</w:t>
        </w:r>
      </w:hyperlink>
      <w:hyperlink r:id="rId13">
        <w:r w:rsidDel="00000000" w:rsidR="00000000" w:rsidRPr="00000000">
          <w:rPr>
            <w:color w:val="1155cc"/>
            <w:sz w:val="20"/>
            <w:highlight w:val="white"/>
            <w:u w:val="single"/>
            <w:rtl w:val="0"/>
          </w:rPr>
          <w:t xml:space="preserve"> found PNE produced statistically significant but clinically small improvements in short-term </w:t>
        </w:r>
      </w:hyperlink>
      <w:hyperlink r:id="rId14">
        <w:r w:rsidDel="00000000" w:rsidR="00000000" w:rsidRPr="00000000">
          <w:rPr>
            <w:color w:val="1155cc"/>
            <w:sz w:val="20"/>
            <w:u w:val="single"/>
            <w:shd w:fill="f2f5f8" w:val="clear"/>
            <w:rtl w:val="0"/>
          </w:rPr>
          <w:t xml:space="preserve">pain</w:t>
        </w:r>
      </w:hyperlink>
      <w:hyperlink r:id="rId15">
        <w:r w:rsidDel="00000000" w:rsidR="00000000" w:rsidRPr="00000000">
          <w:rPr>
            <w:color w:val="1155cc"/>
            <w:sz w:val="20"/>
            <w:highlight w:val="white"/>
            <w:u w:val="single"/>
            <w:rtl w:val="0"/>
          </w:rPr>
          <w:t xml:space="preserve"> of 5mm (0, 10.0mm) [mean difference (95%CI)] on the 100mm VAS</w:t>
        </w:r>
      </w:hyperlink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0"/>
          <w:highlight w:val="white"/>
          <w:rtl w:val="0"/>
        </w:rPr>
        <w:t xml:space="preserve">Lombalgies Cochrane 2010 :</w:t>
      </w:r>
      <w:hyperlink r:id="rId16">
        <w:r w:rsidDel="00000000" w:rsidR="00000000" w:rsidRPr="00000000">
          <w:rPr>
            <w:sz w:val="20"/>
            <w:highlight w:val="white"/>
            <w:rtl w:val="0"/>
          </w:rPr>
          <w:t xml:space="preserve"> </w:t>
        </w:r>
      </w:hyperlink>
      <w:hyperlink r:id="rId17">
        <w:r w:rsidDel="00000000" w:rsidR="00000000" w:rsidRPr="00000000">
          <w:rPr>
            <w:color w:val="1155cc"/>
            <w:sz w:val="20"/>
            <w:highlight w:val="white"/>
            <w:u w:val="single"/>
            <w:rtl w:val="0"/>
          </w:rPr>
          <w:t xml:space="preserve">For patients with acute or subacute LBP, intensive patient education seems to be effective. For patients with chronic LBP, the effectiveness of individual education is still unclear.</w:t>
        </w:r>
      </w:hyperlink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0"/>
          <w:highlight w:val="white"/>
          <w:rtl w:val="0"/>
        </w:rPr>
        <w:t xml:space="preserve">ETP délivrée par des pharmaciens :</w:t>
      </w:r>
      <w:hyperlink r:id="rId18">
        <w:r w:rsidDel="00000000" w:rsidR="00000000" w:rsidRPr="00000000">
          <w:rPr>
            <w:sz w:val="20"/>
            <w:highlight w:val="white"/>
            <w:rtl w:val="0"/>
          </w:rPr>
          <w:t xml:space="preserve"> </w:t>
        </w:r>
      </w:hyperlink>
      <w:hyperlink r:id="rId19">
        <w:r w:rsidDel="00000000" w:rsidR="00000000" w:rsidRPr="00000000">
          <w:rPr>
            <w:color w:val="1155cc"/>
            <w:sz w:val="20"/>
            <w:highlight w:val="white"/>
            <w:u w:val="single"/>
            <w:rtl w:val="0"/>
          </w:rPr>
          <w:t xml:space="preserve">Pharmacist-delivered educational interventions seem to reduce adverse events and improve satisfaction, but their clinical benefit on pain intensity is debatable</w:t>
        </w:r>
      </w:hyperlink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0"/>
          <w:highlight w:val="white"/>
          <w:rtl w:val="0"/>
        </w:rPr>
        <w:t xml:space="preserve">Cancer :</w:t>
      </w:r>
      <w:hyperlink r:id="rId20">
        <w:r w:rsidDel="00000000" w:rsidR="00000000" w:rsidRPr="00000000">
          <w:rPr>
            <w:sz w:val="20"/>
            <w:highlight w:val="white"/>
            <w:rtl w:val="0"/>
          </w:rPr>
          <w:t xml:space="preserve"> </w:t>
        </w:r>
      </w:hyperlink>
      <w:hyperlink r:id="rId21">
        <w:r w:rsidDel="00000000" w:rsidR="00000000" w:rsidRPr="00000000">
          <w:rPr>
            <w:color w:val="1155cc"/>
            <w:sz w:val="20"/>
            <w:highlight w:val="white"/>
            <w:u w:val="single"/>
            <w:rtl w:val="0"/>
          </w:rPr>
          <w:t xml:space="preserve">Overall, educational interventions directed at patients or professionals can result in significant but modest clinical benefit which is similar in magnitude to that achieved by some analgesics.</w:t>
        </w:r>
      </w:hyperlink>
    </w:p>
    <w:p w:rsidR="00000000" w:rsidDel="00000000" w:rsidP="00000000" w:rsidRDefault="00000000" w:rsidRPr="00000000">
      <w:pPr>
        <w:spacing w:line="240" w:lineRule="auto"/>
        <w:contextualSpacing w:val="0"/>
      </w:pPr>
      <w:hyperlink r:id="rId22">
        <w:r w:rsidDel="00000000" w:rsidR="00000000" w:rsidRPr="00000000">
          <w:rPr>
            <w:color w:val="1155cc"/>
            <w:sz w:val="20"/>
            <w:highlight w:val="white"/>
            <w:u w:val="single"/>
            <w:rtl w:val="0"/>
          </w:rPr>
          <w:t xml:space="preserve">Patient-based educational interventions can result in modest but significant benefits in the management of cancer pain, and are probably underused alongside more traditional analgesic approaches</w:t>
        </w:r>
      </w:hyperlink>
    </w:p>
    <w:p w:rsidR="00000000" w:rsidDel="00000000" w:rsidP="00000000" w:rsidRDefault="00000000" w:rsidRPr="00000000">
      <w:pPr>
        <w:spacing w:line="276" w:lineRule="auto"/>
        <w:contextualSpacing w:val="0"/>
      </w:pPr>
      <w:hyperlink r:id="rId23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19" Type="http://schemas.openxmlformats.org/officeDocument/2006/relationships/hyperlink" Target="http://www.ncbi.nlm.nih.gov/pubmed/21610491" TargetMode="External"/><Relationship Id="rId18" Type="http://schemas.openxmlformats.org/officeDocument/2006/relationships/hyperlink" Target="http://www.ncbi.nlm.nih.gov/pubmed/21610491" TargetMode="External"/><Relationship Id="rId17" Type="http://schemas.openxmlformats.org/officeDocument/2006/relationships/hyperlink" Target="http://www.ncbi.nlm.nih.gov/pubmed/18254037" TargetMode="External"/><Relationship Id="rId16" Type="http://schemas.openxmlformats.org/officeDocument/2006/relationships/hyperlink" Target="http://www.ncbi.nlm.nih.gov/pubmed/18254037" TargetMode="External"/><Relationship Id="rId15" Type="http://schemas.openxmlformats.org/officeDocument/2006/relationships/hyperlink" Target="http://www.ncbi.nlm.nih.gov/pubmed/21705261" TargetMode="External"/><Relationship Id="rId14" Type="http://schemas.openxmlformats.org/officeDocument/2006/relationships/hyperlink" Target="http://www.ncbi.nlm.nih.gov/pubmed/21705261" TargetMode="External"/><Relationship Id="rId21" Type="http://schemas.openxmlformats.org/officeDocument/2006/relationships/hyperlink" Target="http://www.ncbi.nlm.nih.gov/pubmed/21157351" TargetMode="External"/><Relationship Id="rId2" Type="http://schemas.openxmlformats.org/officeDocument/2006/relationships/fontTable" Target="fontTable.xml"/><Relationship Id="rId12" Type="http://schemas.openxmlformats.org/officeDocument/2006/relationships/hyperlink" Target="http://www.ncbi.nlm.nih.gov/pubmed/21705261" TargetMode="External"/><Relationship Id="rId22" Type="http://schemas.openxmlformats.org/officeDocument/2006/relationships/hyperlink" Target="http://www.ncbi.nlm.nih.gov/pubmed/19285376" TargetMode="External"/><Relationship Id="rId13" Type="http://schemas.openxmlformats.org/officeDocument/2006/relationships/hyperlink" Target="http://www.ncbi.nlm.nih.gov/pubmed/21705261" TargetMode="External"/><Relationship Id="rId1" Type="http://schemas.openxmlformats.org/officeDocument/2006/relationships/settings" Target="settings.xml"/><Relationship Id="rId23" Type="http://schemas.openxmlformats.org/officeDocument/2006/relationships/hyperlink" Target="http://www.ncbi.nlm.nih.gov/pubmed/19285376" TargetMode="External"/><Relationship Id="rId4" Type="http://schemas.openxmlformats.org/officeDocument/2006/relationships/styles" Target="styles.xml"/><Relationship Id="rId10" Type="http://schemas.openxmlformats.org/officeDocument/2006/relationships/hyperlink" Target="http://www.ncbi.nlm.nih.gov/pubmed/22419306" TargetMode="External"/><Relationship Id="rId3" Type="http://schemas.openxmlformats.org/officeDocument/2006/relationships/numbering" Target="numbering.xml"/><Relationship Id="rId11" Type="http://schemas.openxmlformats.org/officeDocument/2006/relationships/hyperlink" Target="http://www.ncbi.nlm.nih.gov/pubmed/21705261" TargetMode="External"/><Relationship Id="rId20" Type="http://schemas.openxmlformats.org/officeDocument/2006/relationships/hyperlink" Target="http://www.ncbi.nlm.nih.gov/pubmed/21157351" TargetMode="External"/><Relationship Id="rId9" Type="http://schemas.openxmlformats.org/officeDocument/2006/relationships/hyperlink" Target="http://www.ncbi.nlm.nih.gov/pubmed/23279062" TargetMode="External"/><Relationship Id="rId6" Type="http://schemas.openxmlformats.org/officeDocument/2006/relationships/hyperlink" Target="http://www.sante.gouv.fr/textes-reglementaires-relatifs-a-l-etp.html" TargetMode="External"/><Relationship Id="rId5" Type="http://schemas.openxmlformats.org/officeDocument/2006/relationships/hyperlink" Target="http://www.sante.gouv.fr/cdrom_lpsp/pdf/Charte_d_Ottawa.pdf" TargetMode="External"/><Relationship Id="rId8" Type="http://schemas.openxmlformats.org/officeDocument/2006/relationships/hyperlink" Target="http://www.ncbi.nlm.nih.gov/pubmed/23279062" TargetMode="External"/><Relationship Id="rId7" Type="http://schemas.openxmlformats.org/officeDocument/2006/relationships/hyperlink" Target="http://www.has-sante.fr/portail/jcms/c_1241714/fr/education-therapeutique-du-patient-etp" TargetMode="External"/></Relationships>
</file>