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FE" w:rsidRDefault="005D76D7" w:rsidP="000E45AF">
      <w:pPr>
        <w:pStyle w:val="Titre"/>
      </w:pPr>
      <w:r>
        <w:t xml:space="preserve">Atelier : </w:t>
      </w:r>
      <w:bookmarkStart w:id="0" w:name="_GoBack"/>
      <w:bookmarkEnd w:id="0"/>
      <w:r w:rsidR="000E45AF">
        <w:t>« Le travail c’est la santé »</w:t>
      </w:r>
    </w:p>
    <w:p w:rsidR="0031450C" w:rsidRDefault="0031450C" w:rsidP="0031450C">
      <w:pPr>
        <w:pStyle w:val="Listenumros"/>
      </w:pPr>
      <w:r>
        <w:t>Le médecin du travail est tenu au secret médical.</w:t>
      </w:r>
    </w:p>
    <w:p w:rsidR="0031450C" w:rsidRPr="00E20A82" w:rsidRDefault="005C0B27" w:rsidP="0031450C">
      <w:pPr>
        <w:pStyle w:val="Listenumros"/>
        <w:rPr>
          <w:i/>
          <w:iCs/>
        </w:rPr>
      </w:pPr>
      <w:r w:rsidRPr="00E20A82">
        <w:rPr>
          <w:i/>
          <w:iCs/>
        </w:rPr>
        <w:t>La mission du médecin du travail est de sélectionner les salariés capables de travailler.</w:t>
      </w:r>
      <w:r w:rsidR="0031450C" w:rsidRPr="00E20A82">
        <w:rPr>
          <w:i/>
          <w:iCs/>
        </w:rPr>
        <w:t xml:space="preserve"> </w:t>
      </w:r>
    </w:p>
    <w:p w:rsidR="00F47F4E" w:rsidRPr="006343D7" w:rsidRDefault="00F47F4E" w:rsidP="00F47F4E">
      <w:pPr>
        <w:pStyle w:val="Listenumros"/>
        <w:rPr>
          <w:i/>
          <w:iCs/>
        </w:rPr>
      </w:pPr>
      <w:r w:rsidRPr="006343D7">
        <w:rPr>
          <w:i/>
          <w:iCs/>
        </w:rPr>
        <w:t>Lors de la visite de pré-reprise, le médecin du travail se prononce sur l’aptitude du salarié.</w:t>
      </w:r>
    </w:p>
    <w:p w:rsidR="0031450C" w:rsidRPr="006343D7" w:rsidRDefault="0031450C" w:rsidP="00A74A7A">
      <w:pPr>
        <w:pStyle w:val="Listenumros"/>
        <w:rPr>
          <w:i/>
          <w:iCs/>
        </w:rPr>
      </w:pPr>
      <w:r w:rsidRPr="006343D7">
        <w:rPr>
          <w:i/>
          <w:iCs/>
        </w:rPr>
        <w:t xml:space="preserve">Le médecin traitant </w:t>
      </w:r>
      <w:r w:rsidR="00A74A7A">
        <w:rPr>
          <w:i/>
          <w:iCs/>
        </w:rPr>
        <w:t>est</w:t>
      </w:r>
      <w:r w:rsidRPr="006343D7">
        <w:rPr>
          <w:i/>
          <w:iCs/>
        </w:rPr>
        <w:t xml:space="preserve"> compéten</w:t>
      </w:r>
      <w:r w:rsidR="00A74A7A">
        <w:rPr>
          <w:i/>
          <w:iCs/>
        </w:rPr>
        <w:t>t</w:t>
      </w:r>
      <w:r w:rsidRPr="006343D7">
        <w:rPr>
          <w:i/>
          <w:iCs/>
        </w:rPr>
        <w:t xml:space="preserve"> </w:t>
      </w:r>
      <w:r w:rsidR="00A74A7A">
        <w:rPr>
          <w:i/>
          <w:iCs/>
        </w:rPr>
        <w:t>pour</w:t>
      </w:r>
      <w:r w:rsidRPr="006343D7">
        <w:rPr>
          <w:i/>
          <w:iCs/>
        </w:rPr>
        <w:t xml:space="preserve"> rédiger utilement un certificat médical de restriction d’aptitude destiné à l’employeur.</w:t>
      </w:r>
    </w:p>
    <w:p w:rsidR="00184F73" w:rsidRDefault="00FD3D45" w:rsidP="00FD3D45">
      <w:pPr>
        <w:pStyle w:val="Listenumros"/>
        <w:rPr>
          <w:i/>
          <w:iCs/>
        </w:rPr>
      </w:pPr>
      <w:r w:rsidRPr="00A74A7A">
        <w:rPr>
          <w:i/>
          <w:iCs/>
        </w:rPr>
        <w:t>Une visite de reprise auprès du médecin du travail est obligatoire après tout arrêt de travail.</w:t>
      </w:r>
    </w:p>
    <w:p w:rsidR="007C43DA" w:rsidRPr="00A74A7A" w:rsidRDefault="007C43DA" w:rsidP="007C43DA">
      <w:pPr>
        <w:pStyle w:val="Listenumros"/>
        <w:numPr>
          <w:ilvl w:val="0"/>
          <w:numId w:val="0"/>
        </w:numPr>
        <w:rPr>
          <w:i/>
          <w:iCs/>
        </w:rPr>
      </w:pPr>
      <w:r>
        <w:rPr>
          <w:i/>
          <w:iCs/>
        </w:rPr>
        <w:pict>
          <v:rect id="_x0000_i1025" style="width:0;height:1.5pt" o:hralign="center" o:hrstd="t" o:hr="t" fillcolor="#a0a0a0" stroked="f"/>
        </w:pict>
      </w:r>
    </w:p>
    <w:p w:rsidR="00B723B7" w:rsidRPr="00A74A7A" w:rsidRDefault="00B723B7" w:rsidP="00B723B7">
      <w:pPr>
        <w:pStyle w:val="Listenumros"/>
        <w:rPr>
          <w:i/>
          <w:iCs/>
        </w:rPr>
      </w:pPr>
      <w:r w:rsidRPr="00A74A7A">
        <w:rPr>
          <w:i/>
          <w:iCs/>
        </w:rPr>
        <w:t>La souffrance au travail est une maladie professionnelle.</w:t>
      </w:r>
    </w:p>
    <w:p w:rsidR="00FF7CB6" w:rsidRPr="00A74A7A" w:rsidRDefault="00FF7CB6" w:rsidP="00FF7CB6">
      <w:pPr>
        <w:pStyle w:val="Listenumros"/>
        <w:rPr>
          <w:i/>
          <w:iCs/>
        </w:rPr>
      </w:pPr>
      <w:r w:rsidRPr="00A74A7A">
        <w:rPr>
          <w:i/>
          <w:iCs/>
        </w:rPr>
        <w:t>Dans l’intérêt du malade, le médecin traitant doit lui fournir un écrit faisant le lien entre ses conditions de travail et son affection professionnelle psychique.</w:t>
      </w:r>
    </w:p>
    <w:p w:rsidR="0004030B" w:rsidRDefault="0004030B" w:rsidP="00FD3D45">
      <w:pPr>
        <w:pStyle w:val="Listenumros"/>
      </w:pPr>
      <w:r>
        <w:t>Le harcèlement moral au travail est une infraction pénale.</w:t>
      </w:r>
    </w:p>
    <w:p w:rsidR="00A20BDE" w:rsidRDefault="00A20BDE" w:rsidP="00A20BDE">
      <w:pPr>
        <w:pStyle w:val="Listenumros"/>
      </w:pPr>
      <w:r>
        <w:t>En cas de souffrance morale rapportée au travail, la solution de première intention est</w:t>
      </w:r>
      <w:r w:rsidR="00A74A7A">
        <w:t>,</w:t>
      </w:r>
      <w:r>
        <w:t xml:space="preserve"> </w:t>
      </w:r>
      <w:r>
        <w:t>le plus souvent</w:t>
      </w:r>
      <w:r w:rsidR="00A74A7A">
        <w:t>,</w:t>
      </w:r>
      <w:r>
        <w:t xml:space="preserve"> </w:t>
      </w:r>
      <w:r>
        <w:t>de prescrire un arrêt-maladie.</w:t>
      </w:r>
    </w:p>
    <w:p w:rsidR="007C43DA" w:rsidRDefault="007C43DA" w:rsidP="007C43DA">
      <w:pPr>
        <w:pStyle w:val="Listenumros"/>
        <w:numPr>
          <w:ilvl w:val="0"/>
          <w:numId w:val="0"/>
        </w:numPr>
      </w:pPr>
      <w:r>
        <w:rPr>
          <w:i/>
          <w:iCs/>
        </w:rPr>
        <w:pict>
          <v:rect id="_x0000_i1026" style="width:0;height:1.5pt" o:hralign="center" o:hrstd="t" o:hr="t" fillcolor="#a0a0a0" stroked="f"/>
        </w:pict>
      </w:r>
    </w:p>
    <w:p w:rsidR="007840DA" w:rsidRDefault="007840DA" w:rsidP="007840DA">
      <w:pPr>
        <w:pStyle w:val="Listenumros"/>
      </w:pPr>
      <w:r w:rsidRPr="007840DA">
        <w:t>Est considéré comme travailleur handicapé toute personne dont les possibilités d'obtenir ou de conserver un emploi sont effectivement réduites par suite de l'altération d'une ou de plusieurs fonctions physique, sensorielle, mentale ou psychique</w:t>
      </w:r>
      <w:r>
        <w:t>.</w:t>
      </w:r>
    </w:p>
    <w:p w:rsidR="00A2631F" w:rsidRPr="000E45AF" w:rsidRDefault="00A2631F" w:rsidP="00A2631F">
      <w:pPr>
        <w:pStyle w:val="Listenumros"/>
      </w:pPr>
      <w:r>
        <w:t>La RQTH (reconnaissance de la qualité de travailleur handicapé) peut s’accompagner de mesures matérielles et/ou financières pour favoriser le maintien dans l’emploi dans son entreprise d’un travailleur handicapé.</w:t>
      </w:r>
    </w:p>
    <w:p w:rsidR="007840DA" w:rsidRDefault="007840DA" w:rsidP="007840DA">
      <w:pPr>
        <w:pStyle w:val="Listenumros"/>
      </w:pPr>
      <w:r>
        <w:t>Le médecin du travail peut prononcer un avis d’aptitude avec restrictions.</w:t>
      </w:r>
    </w:p>
    <w:p w:rsidR="00A2631F" w:rsidRDefault="00737B5B">
      <w:pPr>
        <w:pStyle w:val="Listenumros"/>
      </w:pPr>
      <w:r>
        <w:t>Le médecin du travail peut diligenter une demande de RQTH.</w:t>
      </w:r>
    </w:p>
    <w:p w:rsidR="007C43DA" w:rsidRDefault="007C43DA" w:rsidP="007C43DA">
      <w:pPr>
        <w:pStyle w:val="Listenumros"/>
        <w:numPr>
          <w:ilvl w:val="0"/>
          <w:numId w:val="0"/>
        </w:numPr>
      </w:pPr>
      <w:r>
        <w:rPr>
          <w:i/>
          <w:iCs/>
        </w:rPr>
        <w:pict>
          <v:rect id="_x0000_i1027" style="width:0;height:1.5pt" o:hralign="center" o:hrstd="t" o:hr="t" fillcolor="#a0a0a0" stroked="f"/>
        </w:pict>
      </w:r>
    </w:p>
    <w:p w:rsidR="00737B5B" w:rsidRDefault="00737B5B" w:rsidP="00737B5B">
      <w:pPr>
        <w:pStyle w:val="Listenumros"/>
      </w:pPr>
      <w:r>
        <w:t>La déclaration d’un accident du travail à la sécurité sociale est possible pendant 2 ans après sa survenue.</w:t>
      </w:r>
    </w:p>
    <w:p w:rsidR="00737B5B" w:rsidRPr="00C02289" w:rsidRDefault="00737B5B" w:rsidP="00737B5B">
      <w:pPr>
        <w:pStyle w:val="Listenumros"/>
        <w:rPr>
          <w:i/>
          <w:iCs/>
        </w:rPr>
      </w:pPr>
      <w:r w:rsidRPr="00C02289">
        <w:rPr>
          <w:i/>
          <w:iCs/>
        </w:rPr>
        <w:t>Le délai de prise en charge d’</w:t>
      </w:r>
      <w:r w:rsidRPr="00C02289">
        <w:rPr>
          <w:i/>
          <w:iCs/>
        </w:rPr>
        <w:t xml:space="preserve">une maladie professionnelle est </w:t>
      </w:r>
      <w:r w:rsidRPr="00C02289">
        <w:rPr>
          <w:i/>
          <w:iCs/>
        </w:rPr>
        <w:t xml:space="preserve">le temps dont dispose la sécurité sociale pour accepter ou refuser une </w:t>
      </w:r>
      <w:r w:rsidRPr="00C02289">
        <w:rPr>
          <w:i/>
          <w:iCs/>
        </w:rPr>
        <w:t>maladie professionnelle.</w:t>
      </w:r>
    </w:p>
    <w:p w:rsidR="00737B5B" w:rsidRPr="00C02289" w:rsidRDefault="00737B5B" w:rsidP="00737B5B">
      <w:pPr>
        <w:pStyle w:val="Listenumros"/>
        <w:rPr>
          <w:i/>
          <w:iCs/>
        </w:rPr>
      </w:pPr>
      <w:r w:rsidRPr="00C02289">
        <w:rPr>
          <w:i/>
          <w:iCs/>
        </w:rPr>
        <w:tab/>
        <w:t>La reconnaissance d’une ma</w:t>
      </w:r>
      <w:r w:rsidRPr="00C02289">
        <w:rPr>
          <w:i/>
          <w:iCs/>
        </w:rPr>
        <w:t xml:space="preserve">ladie professionnelle entraîne </w:t>
      </w:r>
      <w:r w:rsidRPr="00C02289">
        <w:rPr>
          <w:i/>
          <w:iCs/>
        </w:rPr>
        <w:t>obligatoirement pour le salarié un changement de poste de travail</w:t>
      </w:r>
      <w:r w:rsidRPr="00C02289">
        <w:rPr>
          <w:i/>
          <w:iCs/>
        </w:rPr>
        <w:t>.</w:t>
      </w:r>
    </w:p>
    <w:p w:rsidR="00310E3A" w:rsidRDefault="00310E3A" w:rsidP="0035799B">
      <w:pPr>
        <w:pStyle w:val="Listenumros"/>
      </w:pPr>
      <w:r>
        <w:t xml:space="preserve">Après </w:t>
      </w:r>
      <w:r w:rsidR="0035799B">
        <w:t>s</w:t>
      </w:r>
      <w:r>
        <w:t>a retraite, la surveillance médicale d’un salarié ayant été exposé à un ou des cancérogènes professionnels est réalisée par l</w:t>
      </w:r>
      <w:r w:rsidR="0035799B">
        <w:t>e</w:t>
      </w:r>
      <w:r>
        <w:t xml:space="preserve"> médecin traitant.</w:t>
      </w:r>
    </w:p>
    <w:p w:rsidR="0035799B" w:rsidRDefault="0035799B" w:rsidP="0035799B">
      <w:pPr>
        <w:pStyle w:val="Listenumros"/>
      </w:pPr>
      <w:r>
        <w:t>Un taux d’incapacité partielle, en accident du travail ou en maladie professionnelle, d’au moins 10%, peut ouvrir, sous certaines conditions, les droits à la retraite à 60 ans sans décote.</w:t>
      </w:r>
    </w:p>
    <w:p w:rsidR="0035799B" w:rsidRDefault="0035799B" w:rsidP="0035799B">
      <w:pPr>
        <w:pStyle w:val="Listenumros"/>
        <w:numPr>
          <w:ilvl w:val="0"/>
          <w:numId w:val="0"/>
        </w:numPr>
        <w:ind w:left="357" w:hanging="357"/>
      </w:pPr>
    </w:p>
    <w:p w:rsidR="0035799B" w:rsidRDefault="0035799B" w:rsidP="0035799B">
      <w:pPr>
        <w:pStyle w:val="Listenumros"/>
        <w:numPr>
          <w:ilvl w:val="0"/>
          <w:numId w:val="0"/>
        </w:numPr>
        <w:ind w:left="357" w:hanging="357"/>
      </w:pPr>
    </w:p>
    <w:p w:rsidR="0035799B" w:rsidRDefault="0035799B" w:rsidP="0035799B">
      <w:pPr>
        <w:pStyle w:val="Listenumros"/>
        <w:numPr>
          <w:ilvl w:val="0"/>
          <w:numId w:val="0"/>
        </w:numPr>
        <w:ind w:left="357" w:hanging="357"/>
      </w:pPr>
      <w:r>
        <w:t xml:space="preserve">Les tableaux de maladie professionnelle en ligne : </w:t>
      </w:r>
      <w:hyperlink r:id="rId8" w:history="1">
        <w:r w:rsidRPr="00581BCC">
          <w:rPr>
            <w:rStyle w:val="Lienhypertexte"/>
          </w:rPr>
          <w:t>http://www.inrs-mp.fr/mp/cgi-bin/mppage.pl</w:t>
        </w:r>
      </w:hyperlink>
      <w:r w:rsidRPr="0035799B">
        <w:t>?</w:t>
      </w:r>
    </w:p>
    <w:sectPr w:rsidR="003579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6F" w:rsidRDefault="0049016F" w:rsidP="000E45AF">
      <w:pPr>
        <w:spacing w:after="0" w:line="240" w:lineRule="auto"/>
      </w:pPr>
      <w:r>
        <w:separator/>
      </w:r>
    </w:p>
  </w:endnote>
  <w:endnote w:type="continuationSeparator" w:id="0">
    <w:p w:rsidR="0049016F" w:rsidRDefault="0049016F" w:rsidP="000E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F" w:rsidRDefault="000E45AF">
    <w:pPr>
      <w:pStyle w:val="Pieddepage"/>
    </w:pPr>
    <w:r w:rsidRPr="000E45AF">
      <w:t xml:space="preserve">Journée de médecine générale </w:t>
    </w:r>
    <w:proofErr w:type="spellStart"/>
    <w:r w:rsidRPr="000E45AF">
      <w:t>IdF</w:t>
    </w:r>
    <w:proofErr w:type="spellEnd"/>
    <w:r>
      <w:t xml:space="preserve"> – 30 mai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6F" w:rsidRDefault="0049016F" w:rsidP="000E45AF">
      <w:pPr>
        <w:spacing w:after="0" w:line="240" w:lineRule="auto"/>
      </w:pPr>
      <w:r>
        <w:separator/>
      </w:r>
    </w:p>
  </w:footnote>
  <w:footnote w:type="continuationSeparator" w:id="0">
    <w:p w:rsidR="0049016F" w:rsidRDefault="0049016F" w:rsidP="000E4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434EE"/>
    <w:lvl w:ilvl="0">
      <w:start w:val="1"/>
      <w:numFmt w:val="decimal"/>
      <w:lvlText w:val="%1."/>
      <w:lvlJc w:val="left"/>
      <w:pPr>
        <w:tabs>
          <w:tab w:val="num" w:pos="1492"/>
        </w:tabs>
        <w:ind w:left="1492" w:hanging="360"/>
      </w:pPr>
    </w:lvl>
  </w:abstractNum>
  <w:abstractNum w:abstractNumId="1">
    <w:nsid w:val="FFFFFF7D"/>
    <w:multiLevelType w:val="singleLevel"/>
    <w:tmpl w:val="E8BADB40"/>
    <w:lvl w:ilvl="0">
      <w:start w:val="1"/>
      <w:numFmt w:val="decimal"/>
      <w:lvlText w:val="%1."/>
      <w:lvlJc w:val="left"/>
      <w:pPr>
        <w:tabs>
          <w:tab w:val="num" w:pos="1209"/>
        </w:tabs>
        <w:ind w:left="1209" w:hanging="360"/>
      </w:pPr>
    </w:lvl>
  </w:abstractNum>
  <w:abstractNum w:abstractNumId="2">
    <w:nsid w:val="FFFFFF7E"/>
    <w:multiLevelType w:val="singleLevel"/>
    <w:tmpl w:val="83BC3588"/>
    <w:lvl w:ilvl="0">
      <w:start w:val="1"/>
      <w:numFmt w:val="decimal"/>
      <w:lvlText w:val="%1."/>
      <w:lvlJc w:val="left"/>
      <w:pPr>
        <w:tabs>
          <w:tab w:val="num" w:pos="926"/>
        </w:tabs>
        <w:ind w:left="926" w:hanging="360"/>
      </w:pPr>
    </w:lvl>
  </w:abstractNum>
  <w:abstractNum w:abstractNumId="3">
    <w:nsid w:val="FFFFFF7F"/>
    <w:multiLevelType w:val="singleLevel"/>
    <w:tmpl w:val="A81A7560"/>
    <w:lvl w:ilvl="0">
      <w:start w:val="1"/>
      <w:numFmt w:val="decimal"/>
      <w:lvlText w:val="%1."/>
      <w:lvlJc w:val="left"/>
      <w:pPr>
        <w:tabs>
          <w:tab w:val="num" w:pos="643"/>
        </w:tabs>
        <w:ind w:left="643" w:hanging="360"/>
      </w:pPr>
    </w:lvl>
  </w:abstractNum>
  <w:abstractNum w:abstractNumId="4">
    <w:nsid w:val="FFFFFF83"/>
    <w:multiLevelType w:val="singleLevel"/>
    <w:tmpl w:val="186073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F43C5F90"/>
    <w:lvl w:ilvl="0">
      <w:start w:val="1"/>
      <w:numFmt w:val="decimal"/>
      <w:pStyle w:val="Listenumros"/>
      <w:lvlText w:val="%1."/>
      <w:lvlJc w:val="left"/>
      <w:pPr>
        <w:tabs>
          <w:tab w:val="num" w:pos="360"/>
        </w:tabs>
        <w:ind w:left="360" w:hanging="360"/>
      </w:pPr>
    </w:lvl>
  </w:abstractNum>
  <w:abstractNum w:abstractNumId="6">
    <w:nsid w:val="FFFFFF89"/>
    <w:multiLevelType w:val="singleLevel"/>
    <w:tmpl w:val="E9D40F52"/>
    <w:lvl w:ilvl="0">
      <w:start w:val="1"/>
      <w:numFmt w:val="bullet"/>
      <w:lvlText w:val=""/>
      <w:lvlJc w:val="left"/>
      <w:pPr>
        <w:tabs>
          <w:tab w:val="num" w:pos="360"/>
        </w:tabs>
        <w:ind w:left="360" w:hanging="360"/>
      </w:pPr>
      <w:rPr>
        <w:rFonts w:ascii="Symbol" w:hAnsi="Symbol" w:hint="default"/>
      </w:rPr>
    </w:lvl>
  </w:abstractNum>
  <w:abstractNum w:abstractNumId="7">
    <w:nsid w:val="06F5202E"/>
    <w:multiLevelType w:val="hybridMultilevel"/>
    <w:tmpl w:val="6B1EBDEE"/>
    <w:lvl w:ilvl="0" w:tplc="7398F56E">
      <w:start w:val="1"/>
      <w:numFmt w:val="bullet"/>
      <w:lvlText w:val=""/>
      <w:lvlJc w:val="left"/>
      <w:pPr>
        <w:tabs>
          <w:tab w:val="num" w:pos="360"/>
        </w:tabs>
      </w:pPr>
      <w:rPr>
        <w:rFonts w:ascii="Symbol" w:hAnsi="Symbol" w:cs="Times New Roman" w:hint="default"/>
        <w:sz w:val="20"/>
        <w:szCs w:val="20"/>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1880205C"/>
    <w:multiLevelType w:val="hybridMultilevel"/>
    <w:tmpl w:val="77E4052C"/>
    <w:lvl w:ilvl="0" w:tplc="A9DE21E8">
      <w:start w:val="1"/>
      <w:numFmt w:val="bullet"/>
      <w:lvlText w:val=""/>
      <w:lvlJc w:val="left"/>
      <w:pPr>
        <w:tabs>
          <w:tab w:val="num" w:pos="360"/>
        </w:tabs>
        <w:ind w:left="340" w:hanging="34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nsid w:val="2B2D1314"/>
    <w:multiLevelType w:val="hybridMultilevel"/>
    <w:tmpl w:val="128E477C"/>
    <w:lvl w:ilvl="0" w:tplc="0142A884">
      <w:start w:val="1"/>
      <w:numFmt w:val="bullet"/>
      <w:lvlText w:val=""/>
      <w:legacy w:legacy="1" w:legacySpace="0" w:legacyIndent="285"/>
      <w:lvlJc w:val="left"/>
      <w:rPr>
        <w:rFonts w:ascii="Symbol" w:hAnsi="Symbol" w:cs="Times New Roman" w:hint="default"/>
        <w:sz w:val="20"/>
        <w:szCs w:val="20"/>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nsid w:val="486B7F4B"/>
    <w:multiLevelType w:val="hybridMultilevel"/>
    <w:tmpl w:val="8236D9FC"/>
    <w:lvl w:ilvl="0" w:tplc="128E2C7A">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AF"/>
    <w:rsid w:val="0004030B"/>
    <w:rsid w:val="000E45AF"/>
    <w:rsid w:val="0012084B"/>
    <w:rsid w:val="00184F73"/>
    <w:rsid w:val="00310E3A"/>
    <w:rsid w:val="0031450C"/>
    <w:rsid w:val="0035799B"/>
    <w:rsid w:val="004032F3"/>
    <w:rsid w:val="00403501"/>
    <w:rsid w:val="0049016F"/>
    <w:rsid w:val="005639AE"/>
    <w:rsid w:val="005C0B27"/>
    <w:rsid w:val="005D76D7"/>
    <w:rsid w:val="006343D7"/>
    <w:rsid w:val="00737B5B"/>
    <w:rsid w:val="007840DA"/>
    <w:rsid w:val="007C43DA"/>
    <w:rsid w:val="00A20BDE"/>
    <w:rsid w:val="00A2631F"/>
    <w:rsid w:val="00A74A7A"/>
    <w:rsid w:val="00B723B7"/>
    <w:rsid w:val="00C02289"/>
    <w:rsid w:val="00C05F10"/>
    <w:rsid w:val="00D930A2"/>
    <w:rsid w:val="00E20A82"/>
    <w:rsid w:val="00EC6DFE"/>
    <w:rsid w:val="00F47F4E"/>
    <w:rsid w:val="00FD3D45"/>
    <w:rsid w:val="00FF7C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4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E4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45A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E45AF"/>
    <w:pPr>
      <w:ind w:left="720"/>
      <w:contextualSpacing/>
    </w:pPr>
  </w:style>
  <w:style w:type="paragraph" w:styleId="En-tte">
    <w:name w:val="header"/>
    <w:basedOn w:val="Normal"/>
    <w:link w:val="En-tteCar"/>
    <w:unhideWhenUsed/>
    <w:rsid w:val="000E45AF"/>
    <w:pPr>
      <w:tabs>
        <w:tab w:val="center" w:pos="4536"/>
        <w:tab w:val="right" w:pos="9072"/>
      </w:tabs>
      <w:spacing w:after="0" w:line="240" w:lineRule="auto"/>
    </w:pPr>
  </w:style>
  <w:style w:type="character" w:customStyle="1" w:styleId="En-tteCar">
    <w:name w:val="En-tête Car"/>
    <w:basedOn w:val="Policepardfaut"/>
    <w:link w:val="En-tte"/>
    <w:uiPriority w:val="99"/>
    <w:rsid w:val="000E45AF"/>
  </w:style>
  <w:style w:type="paragraph" w:styleId="Pieddepage">
    <w:name w:val="footer"/>
    <w:basedOn w:val="Normal"/>
    <w:link w:val="PieddepageCar"/>
    <w:uiPriority w:val="99"/>
    <w:unhideWhenUsed/>
    <w:rsid w:val="000E4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5AF"/>
  </w:style>
  <w:style w:type="paragraph" w:styleId="Listenumros">
    <w:name w:val="List Number"/>
    <w:basedOn w:val="Normal"/>
    <w:uiPriority w:val="99"/>
    <w:unhideWhenUsed/>
    <w:rsid w:val="0012084B"/>
    <w:pPr>
      <w:numPr>
        <w:numId w:val="2"/>
      </w:numPr>
      <w:spacing w:after="120" w:line="240" w:lineRule="auto"/>
      <w:ind w:left="357" w:hanging="357"/>
      <w:jc w:val="both"/>
    </w:pPr>
  </w:style>
  <w:style w:type="character" w:styleId="Lienhypertexte">
    <w:name w:val="Hyperlink"/>
    <w:basedOn w:val="Policepardfaut"/>
    <w:uiPriority w:val="99"/>
    <w:unhideWhenUsed/>
    <w:rsid w:val="00357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4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E4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45A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E45AF"/>
    <w:pPr>
      <w:ind w:left="720"/>
      <w:contextualSpacing/>
    </w:pPr>
  </w:style>
  <w:style w:type="paragraph" w:styleId="En-tte">
    <w:name w:val="header"/>
    <w:basedOn w:val="Normal"/>
    <w:link w:val="En-tteCar"/>
    <w:unhideWhenUsed/>
    <w:rsid w:val="000E45AF"/>
    <w:pPr>
      <w:tabs>
        <w:tab w:val="center" w:pos="4536"/>
        <w:tab w:val="right" w:pos="9072"/>
      </w:tabs>
      <w:spacing w:after="0" w:line="240" w:lineRule="auto"/>
    </w:pPr>
  </w:style>
  <w:style w:type="character" w:customStyle="1" w:styleId="En-tteCar">
    <w:name w:val="En-tête Car"/>
    <w:basedOn w:val="Policepardfaut"/>
    <w:link w:val="En-tte"/>
    <w:uiPriority w:val="99"/>
    <w:rsid w:val="000E45AF"/>
  </w:style>
  <w:style w:type="paragraph" w:styleId="Pieddepage">
    <w:name w:val="footer"/>
    <w:basedOn w:val="Normal"/>
    <w:link w:val="PieddepageCar"/>
    <w:uiPriority w:val="99"/>
    <w:unhideWhenUsed/>
    <w:rsid w:val="000E4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5AF"/>
  </w:style>
  <w:style w:type="paragraph" w:styleId="Listenumros">
    <w:name w:val="List Number"/>
    <w:basedOn w:val="Normal"/>
    <w:uiPriority w:val="99"/>
    <w:unhideWhenUsed/>
    <w:rsid w:val="0012084B"/>
    <w:pPr>
      <w:numPr>
        <w:numId w:val="2"/>
      </w:numPr>
      <w:spacing w:after="120" w:line="240" w:lineRule="auto"/>
      <w:ind w:left="357" w:hanging="357"/>
      <w:jc w:val="both"/>
    </w:pPr>
  </w:style>
  <w:style w:type="character" w:styleId="Lienhypertexte">
    <w:name w:val="Hyperlink"/>
    <w:basedOn w:val="Policepardfaut"/>
    <w:uiPriority w:val="99"/>
    <w:unhideWhenUsed/>
    <w:rsid w:val="00357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s-mp.fr/mp/cgi-bin/mppag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KHATIB Aicha</dc:creator>
  <cp:lastModifiedBy>EL KHATIB Aicha</cp:lastModifiedBy>
  <cp:revision>19</cp:revision>
  <dcterms:created xsi:type="dcterms:W3CDTF">2015-05-26T06:55:00Z</dcterms:created>
  <dcterms:modified xsi:type="dcterms:W3CDTF">2015-05-26T10:12:00Z</dcterms:modified>
</cp:coreProperties>
</file>